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98C43" w14:textId="0E46DC81" w:rsidR="0052217E" w:rsidRDefault="0052217E" w:rsidP="00A75E7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8255"/>
      </w:tblGrid>
      <w:tr w:rsidR="0052217E" w14:paraId="1108B557" w14:textId="77777777" w:rsidTr="003D2108">
        <w:trPr>
          <w:trHeight w:val="720"/>
          <w:hidden/>
        </w:trPr>
        <w:tc>
          <w:tcPr>
            <w:tcW w:w="127" w:type="dxa"/>
            <w:vAlign w:val="center"/>
            <w:hideMark/>
          </w:tcPr>
          <w:p w14:paraId="3E40723A" w14:textId="77777777" w:rsidR="0052217E" w:rsidRDefault="0052217E" w:rsidP="003D2108">
            <w:pPr>
              <w:rPr>
                <w:vanish/>
              </w:rPr>
            </w:pPr>
          </w:p>
        </w:tc>
        <w:tc>
          <w:tcPr>
            <w:tcW w:w="8255" w:type="dxa"/>
            <w:hideMark/>
          </w:tcPr>
          <w:p w14:paraId="496AE71F" w14:textId="77777777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  <w:rPr>
                <w:rFonts w:ascii="Helvetica" w:hAnsi="Helvetica" w:cs="Helvetica"/>
                <w:color w:val="595959"/>
              </w:rPr>
            </w:pPr>
            <w:r>
              <w:rPr>
                <w:rFonts w:ascii="Helvetica" w:hAnsi="Helvetica" w:cs="Helvetica"/>
                <w:color w:val="595959"/>
              </w:rPr>
              <w:t>The </w:t>
            </w:r>
            <w:hyperlink r:id="rId5" w:history="1">
              <w:r>
                <w:rPr>
                  <w:rStyle w:val="Hyperlink"/>
                  <w:rFonts w:ascii="Helvetica" w:hAnsi="Helvetica" w:cs="Helvetica"/>
                </w:rPr>
                <w:t>Curtin Ignition Program </w:t>
              </w:r>
            </w:hyperlink>
            <w:r>
              <w:rPr>
                <w:rFonts w:ascii="Helvetica" w:hAnsi="Helvetica" w:cs="Helvetica"/>
                <w:color w:val="595959"/>
              </w:rPr>
              <w:t>is an intensive entrepreneurial education program that runs from </w:t>
            </w:r>
            <w:r>
              <w:rPr>
                <w:rStyle w:val="Strong"/>
                <w:rFonts w:ascii="Helvetica" w:hAnsi="Helvetica" w:cs="Helvetica"/>
                <w:color w:val="595959"/>
              </w:rPr>
              <w:t>4th – 9th September, 2022</w:t>
            </w:r>
            <w:r>
              <w:rPr>
                <w:rFonts w:ascii="Helvetica" w:hAnsi="Helvetica" w:cs="Helvetica"/>
                <w:color w:val="595959"/>
              </w:rPr>
              <w:t>. The program is for aspiring entrepreneurs, academics and corporate innovators to trial and prepare business ideas for the commercial environment.</w:t>
            </w:r>
          </w:p>
          <w:p w14:paraId="2531781D" w14:textId="77777777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  <w:rPr>
                <w:rFonts w:ascii="Helvetica" w:hAnsi="Helvetica" w:cs="Helvetica"/>
                <w:color w:val="595959"/>
              </w:rPr>
            </w:pPr>
            <w:r>
              <w:rPr>
                <w:rFonts w:ascii="Helvetica" w:hAnsi="Helvetica" w:cs="Helvetica"/>
                <w:color w:val="595959"/>
              </w:rPr>
              <w:t>Curtin Ignition is suited to founders of </w:t>
            </w:r>
            <w:r>
              <w:rPr>
                <w:rStyle w:val="Strong"/>
                <w:rFonts w:ascii="Helvetica" w:hAnsi="Helvetica" w:cs="Helvetica"/>
                <w:color w:val="595959"/>
              </w:rPr>
              <w:t>early stage, high-growth business ventures</w:t>
            </w:r>
            <w:r>
              <w:rPr>
                <w:rFonts w:ascii="Helvetica" w:hAnsi="Helvetica" w:cs="Helvetica"/>
                <w:color w:val="595959"/>
              </w:rPr>
              <w:t> and people with new ideas that have the potential to become high-growth, worldwide businesses.</w:t>
            </w:r>
          </w:p>
          <w:p w14:paraId="75D9C0EE" w14:textId="77777777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  <w:rPr>
                <w:rFonts w:ascii="Helvetica" w:hAnsi="Helvetica" w:cs="Helvetica"/>
                <w:color w:val="595959"/>
              </w:rPr>
            </w:pPr>
            <w:r>
              <w:rPr>
                <w:rFonts w:ascii="Helvetica" w:hAnsi="Helvetica" w:cs="Helvetica"/>
                <w:color w:val="595959"/>
              </w:rPr>
              <w:t xml:space="preserve">The program total cost is $3,250 and comprises of a blend of keynote and </w:t>
            </w:r>
            <w:r>
              <w:rPr>
                <w:rFonts w:ascii="Helvetica" w:hAnsi="Helvetica" w:cs="Helvetica"/>
                <w:b/>
                <w:bCs/>
                <w:color w:val="595959"/>
              </w:rPr>
              <w:t>workshop teaching sessions, small group mentoring</w:t>
            </w:r>
            <w:r>
              <w:rPr>
                <w:rFonts w:ascii="Helvetica" w:hAnsi="Helvetica" w:cs="Helvetica"/>
                <w:color w:val="595959"/>
              </w:rPr>
              <w:t>, panel, clinic and networking.</w:t>
            </w:r>
          </w:p>
          <w:p w14:paraId="3DCB66D8" w14:textId="7C500F5A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  <w:rPr>
                <w:rFonts w:ascii="Helvetica" w:hAnsi="Helvetica" w:cs="Helvetica"/>
                <w:color w:val="1F497D"/>
              </w:rPr>
            </w:pPr>
            <w:r>
              <w:rPr>
                <w:rFonts w:ascii="Helvetica" w:hAnsi="Helvetica" w:cs="Helvetica"/>
                <w:color w:val="595959"/>
              </w:rPr>
              <w:t xml:space="preserve">Thanks to our sponsors, there are up to </w:t>
            </w:r>
            <w:r w:rsidR="00804416" w:rsidRPr="00804416">
              <w:rPr>
                <w:rFonts w:ascii="Helvetica" w:hAnsi="Helvetica" w:cs="Helvetica"/>
                <w:b/>
                <w:color w:val="595959"/>
              </w:rPr>
              <w:t>seventy</w:t>
            </w:r>
            <w:r w:rsidRPr="00804416">
              <w:rPr>
                <w:rFonts w:ascii="Helvetica" w:hAnsi="Helvetica" w:cs="Helvetica"/>
                <w:b/>
                <w:color w:val="595959"/>
              </w:rPr>
              <w:t>-</w:t>
            </w:r>
            <w:r w:rsidR="00804416" w:rsidRPr="00804416">
              <w:rPr>
                <w:rFonts w:ascii="Helvetica" w:hAnsi="Helvetica" w:cs="Helvetica"/>
                <w:b/>
                <w:color w:val="595959"/>
              </w:rPr>
              <w:t>four</w:t>
            </w:r>
            <w:r>
              <w:rPr>
                <w:rFonts w:ascii="Helvetica" w:hAnsi="Helvetica" w:cs="Helvetica"/>
                <w:color w:val="595959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595959"/>
              </w:rPr>
              <w:t>(</w:t>
            </w:r>
            <w:r w:rsidR="00804416">
              <w:rPr>
                <w:rFonts w:ascii="Helvetica" w:hAnsi="Helvetica" w:cs="Helvetica"/>
                <w:b/>
                <w:bCs/>
              </w:rPr>
              <w:t>74</w:t>
            </w:r>
            <w:r>
              <w:rPr>
                <w:rFonts w:ascii="Helvetica" w:hAnsi="Helvetica" w:cs="Helvetica"/>
                <w:b/>
                <w:bCs/>
                <w:color w:val="595959"/>
              </w:rPr>
              <w:t xml:space="preserve">) </w:t>
            </w:r>
            <w:hyperlink r:id="rId6" w:history="1">
              <w:r>
                <w:rPr>
                  <w:rStyle w:val="Hyperlink"/>
                  <w:rFonts w:ascii="Helvetica" w:hAnsi="Helvetica" w:cs="Helvetica"/>
                </w:rPr>
                <w:t>fully funded scholarships</w:t>
              </w:r>
            </w:hyperlink>
            <w:r>
              <w:rPr>
                <w:rFonts w:ascii="Helvetica" w:hAnsi="Helvetica" w:cs="Helvetica"/>
                <w:color w:val="595959"/>
              </w:rPr>
              <w:t xml:space="preserve"> on the 2022 Curtin Ignition Program. </w:t>
            </w:r>
          </w:p>
          <w:p w14:paraId="3F353407" w14:textId="77777777" w:rsidR="0052217E" w:rsidRDefault="00804416" w:rsidP="003D2108">
            <w:pPr>
              <w:pStyle w:val="NormalWeb"/>
              <w:spacing w:before="300" w:beforeAutospacing="0" w:after="360" w:afterAutospacing="0" w:line="360" w:lineRule="atLeast"/>
              <w:rPr>
                <w:rStyle w:val="Hyperlink"/>
              </w:rPr>
            </w:pPr>
            <w:hyperlink r:id="rId7" w:history="1">
              <w:r w:rsidR="0052217E">
                <w:rPr>
                  <w:rStyle w:val="Hyperlink"/>
                  <w:rFonts w:ascii="Helvetica" w:hAnsi="Helvetica" w:cs="Helvetica"/>
                </w:rPr>
                <w:t>Click here to APPLY NOW</w:t>
              </w:r>
            </w:hyperlink>
          </w:p>
          <w:p w14:paraId="7719B5EC" w14:textId="77777777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  <w:rPr>
                <w:rStyle w:val="Strong"/>
              </w:rPr>
            </w:pPr>
            <w:r>
              <w:rPr>
                <w:rStyle w:val="Strong"/>
                <w:rFonts w:ascii="Helvetica" w:hAnsi="Helvetica" w:cs="Helvetica"/>
                <w:color w:val="595959"/>
              </w:rPr>
              <w:t>Find out more:</w:t>
            </w:r>
          </w:p>
          <w:p w14:paraId="30652695" w14:textId="77777777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</w:pPr>
            <w:r>
              <w:rPr>
                <w:rFonts w:ascii="Helvetica" w:hAnsi="Helvetica" w:cs="Helvetica"/>
                <w:color w:val="595959"/>
              </w:rPr>
              <w:t xml:space="preserve">Please come along to an </w:t>
            </w:r>
            <w:hyperlink r:id="rId8" w:anchor="linkid=um-cbs-ignition" w:history="1">
              <w:r>
                <w:rPr>
                  <w:rStyle w:val="Hyperlink"/>
                  <w:rFonts w:ascii="Helvetica" w:hAnsi="Helvetica" w:cs="Helvetica"/>
                </w:rPr>
                <w:t>Information Session</w:t>
              </w:r>
            </w:hyperlink>
            <w:r>
              <w:rPr>
                <w:rFonts w:ascii="Helvetica" w:hAnsi="Helvetica" w:cs="Helvetica"/>
                <w:color w:val="595959"/>
              </w:rPr>
              <w:t xml:space="preserve"> to find out</w:t>
            </w:r>
            <w:r>
              <w:rPr>
                <w:rFonts w:ascii="Helvetica" w:hAnsi="Helvetica" w:cs="Helvetica"/>
              </w:rPr>
              <w:t>:</w:t>
            </w:r>
          </w:p>
          <w:p w14:paraId="3385E1BE" w14:textId="77777777" w:rsidR="0052217E" w:rsidRDefault="0052217E" w:rsidP="003D2108">
            <w:pPr>
              <w:pStyle w:val="NormalWeb"/>
              <w:numPr>
                <w:ilvl w:val="0"/>
                <w:numId w:val="3"/>
              </w:numPr>
              <w:spacing w:before="300" w:beforeAutospacing="0" w:after="120" w:afterAutospacing="0"/>
              <w:ind w:left="714" w:hanging="357"/>
              <w:rPr>
                <w:rFonts w:ascii="Helvetica" w:hAnsi="Helvetica" w:cs="Helvetica"/>
                <w:color w:val="595959"/>
              </w:rPr>
            </w:pPr>
            <w:r>
              <w:rPr>
                <w:rFonts w:ascii="Helvetica" w:hAnsi="Helvetica" w:cs="Helvetica"/>
                <w:color w:val="595959"/>
              </w:rPr>
              <w:t>What is Curtin </w:t>
            </w:r>
            <w:hyperlink r:id="rId9" w:tgtFrame="_blank" w:history="1">
              <w:r>
                <w:rPr>
                  <w:rStyle w:val="Hyperlink"/>
                  <w:rFonts w:ascii="Helvetica" w:hAnsi="Helvetica" w:cs="Helvetica"/>
                  <w:color w:val="595959"/>
                </w:rPr>
                <w:t>Ignition</w:t>
              </w:r>
            </w:hyperlink>
            <w:r>
              <w:rPr>
                <w:rFonts w:ascii="Helvetica" w:hAnsi="Helvetica" w:cs="Helvetica"/>
                <w:color w:val="595959"/>
              </w:rPr>
              <w:t>?</w:t>
            </w:r>
          </w:p>
          <w:p w14:paraId="32321808" w14:textId="77777777" w:rsidR="0052217E" w:rsidRDefault="0052217E" w:rsidP="003D2108">
            <w:pPr>
              <w:pStyle w:val="NormalWeb"/>
              <w:numPr>
                <w:ilvl w:val="0"/>
                <w:numId w:val="3"/>
              </w:numPr>
              <w:spacing w:before="300" w:beforeAutospacing="0" w:after="120" w:afterAutospacing="0"/>
              <w:ind w:left="714" w:hanging="357"/>
              <w:rPr>
                <w:rFonts w:ascii="Helvetica" w:hAnsi="Helvetica" w:cs="Helvetica"/>
                <w:color w:val="595959"/>
              </w:rPr>
            </w:pPr>
            <w:r>
              <w:rPr>
                <w:rFonts w:ascii="Helvetica" w:hAnsi="Helvetica" w:cs="Helvetica"/>
                <w:color w:val="595959"/>
              </w:rPr>
              <w:t>Who is Ignition for?</w:t>
            </w:r>
          </w:p>
          <w:p w14:paraId="46D0B4DC" w14:textId="77777777" w:rsidR="0052217E" w:rsidRDefault="0052217E" w:rsidP="003D2108">
            <w:pPr>
              <w:pStyle w:val="NormalWeb"/>
              <w:numPr>
                <w:ilvl w:val="0"/>
                <w:numId w:val="3"/>
              </w:numPr>
              <w:spacing w:before="300" w:beforeAutospacing="0" w:after="120" w:afterAutospacing="0"/>
              <w:ind w:left="714" w:hanging="357"/>
              <w:rPr>
                <w:rFonts w:ascii="Helvetica" w:hAnsi="Helvetica" w:cs="Helvetica"/>
                <w:color w:val="595959"/>
              </w:rPr>
            </w:pPr>
            <w:r>
              <w:rPr>
                <w:rFonts w:ascii="Helvetica" w:hAnsi="Helvetica" w:cs="Helvetica"/>
                <w:color w:val="595959"/>
              </w:rPr>
              <w:t>What you will learn, what are the benefits?</w:t>
            </w:r>
          </w:p>
          <w:p w14:paraId="4FB7407A" w14:textId="77777777" w:rsidR="0052217E" w:rsidRDefault="0052217E" w:rsidP="003D2108">
            <w:pPr>
              <w:pStyle w:val="NormalWeb"/>
              <w:numPr>
                <w:ilvl w:val="0"/>
                <w:numId w:val="3"/>
              </w:numPr>
              <w:spacing w:before="300" w:beforeAutospacing="0" w:after="120" w:afterAutospacing="0"/>
              <w:ind w:left="714" w:hanging="357"/>
              <w:rPr>
                <w:rFonts w:ascii="Helvetica" w:hAnsi="Helvetica" w:cs="Helvetica"/>
                <w:color w:val="595959"/>
              </w:rPr>
            </w:pPr>
            <w:r>
              <w:rPr>
                <w:rFonts w:ascii="Helvetica" w:hAnsi="Helvetica" w:cs="Helvetica"/>
                <w:color w:val="595959"/>
              </w:rPr>
              <w:t>Who is involved?</w:t>
            </w:r>
          </w:p>
          <w:p w14:paraId="44315905" w14:textId="77777777" w:rsidR="0052217E" w:rsidRDefault="00804416" w:rsidP="003D2108">
            <w:pPr>
              <w:pStyle w:val="NormalWeb"/>
              <w:numPr>
                <w:ilvl w:val="0"/>
                <w:numId w:val="3"/>
              </w:numPr>
              <w:spacing w:before="300" w:beforeAutospacing="0" w:after="120" w:afterAutospacing="0"/>
              <w:ind w:left="714" w:hanging="357"/>
              <w:rPr>
                <w:rFonts w:ascii="Helvetica" w:hAnsi="Helvetica" w:cs="Helvetica"/>
                <w:color w:val="595959"/>
              </w:rPr>
            </w:pPr>
            <w:hyperlink r:id="rId10" w:tgtFrame="_blank" w:history="1">
              <w:r w:rsidR="0052217E">
                <w:rPr>
                  <w:rStyle w:val="Hyperlink"/>
                  <w:rFonts w:ascii="Helvetica" w:hAnsi="Helvetica" w:cs="Helvetica"/>
                  <w:color w:val="595959"/>
                </w:rPr>
                <w:t>How to apply</w:t>
              </w:r>
            </w:hyperlink>
          </w:p>
          <w:p w14:paraId="3430E058" w14:textId="77777777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  <w:rPr>
                <w:rFonts w:ascii="Helvetica" w:hAnsi="Helvetica" w:cs="Helvetica"/>
                <w:color w:val="1F497D"/>
              </w:rPr>
            </w:pPr>
            <w:r>
              <w:rPr>
                <w:rStyle w:val="Strong"/>
                <w:rFonts w:ascii="Helvetica" w:hAnsi="Helvetica" w:cs="Helvetica"/>
                <w:color w:val="595959"/>
              </w:rPr>
              <w:t>Receive credit for completing Curtin Ignition</w:t>
            </w:r>
            <w:r>
              <w:rPr>
                <w:rFonts w:ascii="Helvetica" w:hAnsi="Helvetica" w:cs="Helvetica"/>
                <w:color w:val="595959"/>
              </w:rPr>
              <w:br/>
              <w:t xml:space="preserve">Completion of Curtin Ignition + an assessment is the equivalent of 25 credit points (1 unit) in the Curtin MBA and Curtin MIBE. For more information email </w:t>
            </w:r>
            <w:hyperlink r:id="rId11" w:history="1">
              <w:r>
                <w:rPr>
                  <w:rStyle w:val="Hyperlink"/>
                  <w:rFonts w:ascii="Helvetica" w:hAnsi="Helvetica" w:cs="Helvetica"/>
                </w:rPr>
                <w:t>execed@curtin.edu.au</w:t>
              </w:r>
            </w:hyperlink>
            <w:bookmarkStart w:id="0" w:name="_GoBack"/>
            <w:bookmarkEnd w:id="0"/>
            <w:r>
              <w:rPr>
                <w:rFonts w:ascii="Helvetica" w:hAnsi="Helvetica" w:cs="Helvetica"/>
                <w:color w:val="595959"/>
              </w:rPr>
              <w:t>.</w:t>
            </w:r>
          </w:p>
          <w:p w14:paraId="521B6D67" w14:textId="77777777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  <w:rPr>
                <w:rStyle w:val="Strong"/>
                <w:color w:val="595959"/>
              </w:rPr>
            </w:pPr>
            <w:r>
              <w:rPr>
                <w:rStyle w:val="Strong"/>
                <w:rFonts w:ascii="Helvetica" w:hAnsi="Helvetica" w:cs="Helvetica"/>
                <w:color w:val="595959"/>
              </w:rPr>
              <w:lastRenderedPageBreak/>
              <w:t>Curtin Ignition is sponsored by</w:t>
            </w:r>
          </w:p>
          <w:p w14:paraId="0140F5AB" w14:textId="343EDAB0" w:rsidR="0052217E" w:rsidRPr="00804416" w:rsidRDefault="0052217E" w:rsidP="003D2108">
            <w:pPr>
              <w:pStyle w:val="NormalWeb"/>
              <w:spacing w:line="360" w:lineRule="atLeast"/>
              <w:rPr>
                <w:rFonts w:ascii="Helvetica" w:hAnsi="Helvetica" w:cs="Helvetica"/>
                <w:color w:val="595959" w:themeColor="text1" w:themeTint="A6"/>
              </w:rPr>
            </w:pPr>
            <w:r w:rsidRPr="00804416">
              <w:rPr>
                <w:rFonts w:ascii="Helvetica" w:hAnsi="Helvetica" w:cs="Helvetica"/>
                <w:color w:val="595959" w:themeColor="text1" w:themeTint="A6"/>
              </w:rPr>
              <w:t>Business News, City of Canning,</w:t>
            </w:r>
            <w:r w:rsidR="00804416" w:rsidRPr="00804416">
              <w:rPr>
                <w:rFonts w:ascii="Helvetica" w:hAnsi="Helvetica" w:cs="Helvetica"/>
                <w:color w:val="595959" w:themeColor="text1" w:themeTint="A6"/>
              </w:rPr>
              <w:t xml:space="preserve"> City of Cockburn,</w:t>
            </w:r>
            <w:r w:rsidRPr="00804416">
              <w:rPr>
                <w:rFonts w:ascii="Helvetica" w:hAnsi="Helvetica" w:cs="Helvetica"/>
                <w:color w:val="595959" w:themeColor="text1" w:themeTint="A6"/>
              </w:rPr>
              <w:t xml:space="preserve"> City of Wanneroo, Constable Care Foundation, Curtin Commercialisation, Department of Primary Industries and Regional Development, </w:t>
            </w:r>
            <w:r w:rsidR="00804416" w:rsidRPr="00804416">
              <w:rPr>
                <w:rFonts w:ascii="Helvetica" w:hAnsi="Helvetica" w:cs="Helvetica"/>
                <w:color w:val="595959" w:themeColor="text1" w:themeTint="A6"/>
              </w:rPr>
              <w:t xml:space="preserve">Impact Seed, </w:t>
            </w:r>
            <w:proofErr w:type="spellStart"/>
            <w:r w:rsidRPr="00804416">
              <w:rPr>
                <w:rFonts w:ascii="Helvetica" w:hAnsi="Helvetica" w:cs="Helvetica"/>
                <w:color w:val="595959" w:themeColor="text1" w:themeTint="A6"/>
              </w:rPr>
              <w:t>Landgate</w:t>
            </w:r>
            <w:proofErr w:type="spellEnd"/>
            <w:r w:rsidRPr="00804416">
              <w:rPr>
                <w:rFonts w:ascii="Helvetica" w:hAnsi="Helvetica" w:cs="Helvetica"/>
                <w:color w:val="595959" w:themeColor="text1" w:themeTint="A6"/>
              </w:rPr>
              <w:t xml:space="preserve">, Peel Development Commission, RSM, </w:t>
            </w:r>
            <w:proofErr w:type="spellStart"/>
            <w:r w:rsidRPr="00804416">
              <w:rPr>
                <w:rFonts w:ascii="Helvetica" w:hAnsi="Helvetica" w:cs="Helvetica"/>
                <w:color w:val="595959" w:themeColor="text1" w:themeTint="A6"/>
              </w:rPr>
              <w:t>Startup</w:t>
            </w:r>
            <w:proofErr w:type="spellEnd"/>
            <w:r w:rsidRPr="00804416">
              <w:rPr>
                <w:rFonts w:ascii="Helvetica" w:hAnsi="Helvetica" w:cs="Helvetica"/>
                <w:color w:val="595959" w:themeColor="text1" w:themeTint="A6"/>
              </w:rPr>
              <w:t xml:space="preserve"> News, Town of Victoria Park, </w:t>
            </w:r>
            <w:r w:rsidR="00804416" w:rsidRPr="00804416">
              <w:rPr>
                <w:rFonts w:ascii="Helvetica" w:hAnsi="Helvetica" w:cs="Helvetica"/>
                <w:color w:val="595959" w:themeColor="text1" w:themeTint="A6"/>
              </w:rPr>
              <w:t xml:space="preserve">WA </w:t>
            </w:r>
            <w:proofErr w:type="spellStart"/>
            <w:r w:rsidR="00804416" w:rsidRPr="00804416">
              <w:rPr>
                <w:rFonts w:ascii="Helvetica" w:hAnsi="Helvetica" w:cs="Helvetica"/>
                <w:color w:val="595959" w:themeColor="text1" w:themeTint="A6"/>
              </w:rPr>
              <w:t>AusCyber</w:t>
            </w:r>
            <w:proofErr w:type="spellEnd"/>
            <w:r w:rsidR="00804416" w:rsidRPr="00804416">
              <w:rPr>
                <w:rFonts w:ascii="Helvetica" w:hAnsi="Helvetica" w:cs="Helvetica"/>
                <w:color w:val="595959" w:themeColor="text1" w:themeTint="A6"/>
              </w:rPr>
              <w:t xml:space="preserve"> Innovation Hub, </w:t>
            </w:r>
            <w:r w:rsidRPr="00804416">
              <w:rPr>
                <w:rFonts w:ascii="Helvetica" w:hAnsi="Helvetica" w:cs="Helvetica"/>
                <w:color w:val="595959" w:themeColor="text1" w:themeTint="A6"/>
              </w:rPr>
              <w:t xml:space="preserve">Woodside and </w:t>
            </w:r>
            <w:proofErr w:type="spellStart"/>
            <w:r w:rsidRPr="00804416">
              <w:rPr>
                <w:rFonts w:ascii="Helvetica" w:hAnsi="Helvetica" w:cs="Helvetica"/>
                <w:color w:val="595959" w:themeColor="text1" w:themeTint="A6"/>
              </w:rPr>
              <w:t>Wrays</w:t>
            </w:r>
            <w:proofErr w:type="spellEnd"/>
            <w:r w:rsidRPr="00804416">
              <w:rPr>
                <w:rFonts w:ascii="Helvetica" w:hAnsi="Helvetica" w:cs="Helvetica"/>
                <w:color w:val="595959" w:themeColor="text1" w:themeTint="A6"/>
              </w:rPr>
              <w:t xml:space="preserve">. </w:t>
            </w:r>
          </w:p>
          <w:p w14:paraId="341D4E27" w14:textId="77777777" w:rsidR="0052217E" w:rsidRDefault="00804416" w:rsidP="003D2108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595959"/>
              </w:rPr>
            </w:pPr>
            <w:r>
              <w:rPr>
                <w:rFonts w:ascii="Helvetica" w:eastAsia="Times New Roman" w:hAnsi="Helvetica" w:cs="Helvetica"/>
                <w:color w:val="595959"/>
              </w:rPr>
              <w:pict w14:anchorId="75A7B7BB">
                <v:rect id="_x0000_i1025" style="width:451.3pt;height:1.5pt" o:hralign="center" o:hrstd="t" o:hr="t" fillcolor="#a0a0a0" stroked="f"/>
              </w:pict>
            </w:r>
          </w:p>
          <w:p w14:paraId="77D066E7" w14:textId="1621832E" w:rsidR="0052217E" w:rsidRDefault="0052217E" w:rsidP="003D2108">
            <w:pPr>
              <w:pStyle w:val="NormalWeb"/>
              <w:spacing w:before="300" w:beforeAutospacing="0" w:after="360" w:afterAutospacing="0" w:line="360" w:lineRule="atLeast"/>
              <w:rPr>
                <w:rFonts w:ascii="Helvetica" w:hAnsi="Helvetica" w:cs="Helvetica"/>
                <w:color w:val="595959"/>
              </w:rPr>
            </w:pPr>
          </w:p>
        </w:tc>
      </w:tr>
    </w:tbl>
    <w:p w14:paraId="4F86057F" w14:textId="77777777" w:rsidR="0052217E" w:rsidRDefault="0052217E" w:rsidP="00A75E7A"/>
    <w:p w14:paraId="120ADBD2" w14:textId="77777777" w:rsidR="008C375B" w:rsidRDefault="008C375B" w:rsidP="008C375B"/>
    <w:p w14:paraId="459FB572" w14:textId="77777777" w:rsidR="008C375B" w:rsidRDefault="008C375B" w:rsidP="008C375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C375B" w14:paraId="7A5F4B6A" w14:textId="77777777" w:rsidTr="008C375B">
        <w:tc>
          <w:tcPr>
            <w:tcW w:w="9059" w:type="dxa"/>
            <w:shd w:val="clear" w:color="auto" w:fill="F5F5F5"/>
          </w:tcPr>
          <w:tbl>
            <w:tblPr>
              <w:tblpPr w:leftFromText="180" w:rightFromText="180" w:horzAnchor="margin" w:tblpY="480"/>
              <w:tblOverlap w:val="never"/>
              <w:tblW w:w="5000" w:type="pct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C375B" w14:paraId="03D58688" w14:textId="77777777" w:rsidTr="0052217E">
              <w:trPr>
                <w:trHeight w:val="1350"/>
              </w:trPr>
              <w:tc>
                <w:tcPr>
                  <w:tcW w:w="5000" w:type="pct"/>
                  <w:shd w:val="clear" w:color="auto" w:fill="F5F5F5"/>
                  <w:vAlign w:val="center"/>
                </w:tcPr>
                <w:p w14:paraId="1B00AC0F" w14:textId="33B2F45D" w:rsidR="008C375B" w:rsidRDefault="008C375B"/>
              </w:tc>
            </w:tr>
          </w:tbl>
          <w:p w14:paraId="3196C308" w14:textId="77777777" w:rsidR="008C375B" w:rsidRDefault="008C375B">
            <w:pPr>
              <w:rPr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8C375B" w14:paraId="403F3E1A" w14:textId="77777777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nil"/>
                    <w:right w:val="single" w:sz="8" w:space="0" w:color="CCCCCC"/>
                  </w:tcBorders>
                  <w:shd w:val="clear" w:color="auto" w:fill="FFFFFF"/>
                  <w:hideMark/>
                </w:tcPr>
                <w:p w14:paraId="7FC4E983" w14:textId="74531E01" w:rsidR="008C375B" w:rsidRDefault="008C375B"/>
              </w:tc>
            </w:tr>
            <w:tr w:rsidR="008C375B" w14:paraId="0386AE3C" w14:textId="77777777">
              <w:tc>
                <w:tcPr>
                  <w:tcW w:w="0" w:type="auto"/>
                  <w:tcBorders>
                    <w:top w:val="nil"/>
                    <w:left w:val="single" w:sz="8" w:space="0" w:color="CCCCCC"/>
                    <w:bottom w:val="nil"/>
                    <w:right w:val="single" w:sz="8" w:space="0" w:color="CCCCCC"/>
                  </w:tcBorders>
                  <w:shd w:val="clear" w:color="auto" w:fill="FFFFFF"/>
                </w:tcPr>
                <w:tbl>
                  <w:tblPr>
                    <w:tblW w:w="900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7809"/>
                    <w:gridCol w:w="600"/>
                  </w:tblGrid>
                  <w:tr w:rsidR="008C375B" w14:paraId="52C380D4" w14:textId="77777777">
                    <w:trPr>
                      <w:trHeight w:val="959"/>
                    </w:trPr>
                    <w:tc>
                      <w:tcPr>
                        <w:tcW w:w="600" w:type="dxa"/>
                        <w:shd w:val="clear" w:color="auto" w:fill="FFBF00"/>
                        <w:vAlign w:val="center"/>
                        <w:hideMark/>
                      </w:tcPr>
                      <w:p w14:paraId="553E3A7E" w14:textId="77777777" w:rsidR="008C375B" w:rsidRDefault="008C375B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BF00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4F56E5D0" w14:textId="77777777" w:rsidR="008C375B" w:rsidRDefault="008C375B">
                        <w:pPr>
                          <w:pStyle w:val="NormalWeb"/>
                          <w:spacing w:before="150" w:beforeAutospacing="0" w:after="150" w:afterAutospacing="0" w:line="600" w:lineRule="atLeast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272727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72727"/>
                            <w:sz w:val="40"/>
                            <w:szCs w:val="40"/>
                          </w:rPr>
                          <w:t>IGNITION APPLICATIONS NOW OPEN!</w:t>
                        </w:r>
                      </w:p>
                    </w:tc>
                    <w:tc>
                      <w:tcPr>
                        <w:tcW w:w="600" w:type="dxa"/>
                        <w:shd w:val="clear" w:color="auto" w:fill="FFBF00"/>
                        <w:vAlign w:val="center"/>
                        <w:hideMark/>
                      </w:tcPr>
                      <w:p w14:paraId="53BB47EF" w14:textId="77777777" w:rsidR="008C375B" w:rsidRDefault="008C375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31321929" w14:textId="77777777" w:rsidR="008C375B" w:rsidRDefault="008C375B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"/>
                    <w:gridCol w:w="6"/>
                  </w:tblGrid>
                  <w:tr w:rsidR="0052217E" w14:paraId="45CBFF2D" w14:textId="77777777" w:rsidTr="0052217E">
                    <w:trPr>
                      <w:trHeight w:val="720"/>
                    </w:trPr>
                    <w:tc>
                      <w:tcPr>
                        <w:tcW w:w="598" w:type="dxa"/>
                        <w:vAlign w:val="center"/>
                        <w:hideMark/>
                      </w:tcPr>
                      <w:p w14:paraId="20173CD7" w14:textId="77777777" w:rsidR="0052217E" w:rsidRDefault="0052217E">
                        <w:pPr>
                          <w:rPr>
                            <w:rFonts w:ascii="Helvetica" w:hAnsi="Helvetica" w:cs="Helvetica"/>
                            <w:color w:val="595959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85CB10" w14:textId="77777777" w:rsidR="0052217E" w:rsidRDefault="0052217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</w:tbl>
                <w:p w14:paraId="3E093D6F" w14:textId="77777777" w:rsidR="008C375B" w:rsidRDefault="008C375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60D6DE48" w14:textId="77777777" w:rsidR="008C375B" w:rsidRDefault="008C375B">
            <w:pPr>
              <w:rPr>
                <w:vanish/>
              </w:rPr>
            </w:pPr>
          </w:p>
          <w:tbl>
            <w:tblPr>
              <w:tblW w:w="5000" w:type="pct"/>
              <w:shd w:val="clear" w:color="auto" w:fill="3333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5416"/>
              <w:gridCol w:w="3009"/>
            </w:tblGrid>
            <w:tr w:rsidR="008C375B" w14:paraId="272F5492" w14:textId="77777777">
              <w:trPr>
                <w:trHeight w:val="1080"/>
              </w:trPr>
              <w:tc>
                <w:tcPr>
                  <w:tcW w:w="600" w:type="dxa"/>
                  <w:tcBorders>
                    <w:top w:val="nil"/>
                    <w:left w:val="nil"/>
                    <w:bottom w:val="single" w:sz="18" w:space="0" w:color="CC9900"/>
                    <w:right w:val="nil"/>
                  </w:tcBorders>
                  <w:shd w:val="clear" w:color="auto" w:fill="333333"/>
                  <w:vAlign w:val="center"/>
                  <w:hideMark/>
                </w:tcPr>
                <w:p w14:paraId="2E1A499F" w14:textId="77777777" w:rsidR="008C375B" w:rsidRDefault="008C375B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18" w:space="0" w:color="CC9900"/>
                    <w:right w:val="nil"/>
                  </w:tcBorders>
                  <w:shd w:val="clear" w:color="auto" w:fill="333333"/>
                  <w:vAlign w:val="center"/>
                  <w:hideMark/>
                </w:tcPr>
                <w:p w14:paraId="41872DF5" w14:textId="77777777" w:rsidR="008C375B" w:rsidRDefault="008C375B">
                  <w:pP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  <w:t>Make tomorrow better.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18" w:space="0" w:color="CC9900"/>
                    <w:right w:val="nil"/>
                  </w:tcBorders>
                  <w:shd w:val="clear" w:color="auto" w:fill="333333"/>
                  <w:vAlign w:val="center"/>
                  <w:hideMark/>
                </w:tcPr>
                <w:p w14:paraId="79FAD7A2" w14:textId="77777777" w:rsidR="008C375B" w:rsidRDefault="008C375B">
                  <w:pP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  <w:t>ignition.curtin.edu.au</w:t>
                  </w:r>
                </w:p>
              </w:tc>
            </w:tr>
          </w:tbl>
          <w:p w14:paraId="5DCC1C1C" w14:textId="77777777" w:rsidR="008C375B" w:rsidRDefault="008C375B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29B3F77" w14:textId="77777777" w:rsidR="00B4368C" w:rsidRDefault="00B4368C" w:rsidP="00A75E7A"/>
    <w:sectPr w:rsidR="00B43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8B1"/>
    <w:multiLevelType w:val="hybridMultilevel"/>
    <w:tmpl w:val="DC1817CA"/>
    <w:lvl w:ilvl="0" w:tplc="24541E3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96620"/>
    <w:multiLevelType w:val="hybridMultilevel"/>
    <w:tmpl w:val="2DD25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53BDB"/>
    <w:multiLevelType w:val="hybridMultilevel"/>
    <w:tmpl w:val="C5221E90"/>
    <w:lvl w:ilvl="0" w:tplc="6E261FA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A"/>
    <w:rsid w:val="00037FEC"/>
    <w:rsid w:val="000915B0"/>
    <w:rsid w:val="000B5D97"/>
    <w:rsid w:val="000C000F"/>
    <w:rsid w:val="000C56C7"/>
    <w:rsid w:val="000C7690"/>
    <w:rsid w:val="000D1DC7"/>
    <w:rsid w:val="000D28BD"/>
    <w:rsid w:val="000D3516"/>
    <w:rsid w:val="000E00AF"/>
    <w:rsid w:val="001001E5"/>
    <w:rsid w:val="00111BAC"/>
    <w:rsid w:val="001215A0"/>
    <w:rsid w:val="00127885"/>
    <w:rsid w:val="00135BA5"/>
    <w:rsid w:val="00136866"/>
    <w:rsid w:val="00156ABC"/>
    <w:rsid w:val="001612E2"/>
    <w:rsid w:val="001665F7"/>
    <w:rsid w:val="001872FF"/>
    <w:rsid w:val="001A0F93"/>
    <w:rsid w:val="001A1773"/>
    <w:rsid w:val="001B133A"/>
    <w:rsid w:val="001B7717"/>
    <w:rsid w:val="001C1C54"/>
    <w:rsid w:val="001D4068"/>
    <w:rsid w:val="00202154"/>
    <w:rsid w:val="00213941"/>
    <w:rsid w:val="00217816"/>
    <w:rsid w:val="002A09E7"/>
    <w:rsid w:val="00350EE2"/>
    <w:rsid w:val="00351762"/>
    <w:rsid w:val="00360090"/>
    <w:rsid w:val="00360BEC"/>
    <w:rsid w:val="00376FDE"/>
    <w:rsid w:val="003C1A01"/>
    <w:rsid w:val="003E32E4"/>
    <w:rsid w:val="004008F1"/>
    <w:rsid w:val="00411AFB"/>
    <w:rsid w:val="004154D7"/>
    <w:rsid w:val="00417EA3"/>
    <w:rsid w:val="00467937"/>
    <w:rsid w:val="00482787"/>
    <w:rsid w:val="00485A77"/>
    <w:rsid w:val="004E5A32"/>
    <w:rsid w:val="004F673B"/>
    <w:rsid w:val="00511EF2"/>
    <w:rsid w:val="00514298"/>
    <w:rsid w:val="0052217E"/>
    <w:rsid w:val="00527304"/>
    <w:rsid w:val="005431FC"/>
    <w:rsid w:val="005651A0"/>
    <w:rsid w:val="005816E2"/>
    <w:rsid w:val="005B36BB"/>
    <w:rsid w:val="005D6B24"/>
    <w:rsid w:val="005E10A7"/>
    <w:rsid w:val="006040A9"/>
    <w:rsid w:val="00623E59"/>
    <w:rsid w:val="006405CF"/>
    <w:rsid w:val="00643D78"/>
    <w:rsid w:val="00662B33"/>
    <w:rsid w:val="00676897"/>
    <w:rsid w:val="006B3167"/>
    <w:rsid w:val="006C4E32"/>
    <w:rsid w:val="006D5390"/>
    <w:rsid w:val="006E13D4"/>
    <w:rsid w:val="006E2ACB"/>
    <w:rsid w:val="006F0D5C"/>
    <w:rsid w:val="0072465E"/>
    <w:rsid w:val="00745904"/>
    <w:rsid w:val="00754351"/>
    <w:rsid w:val="00765B20"/>
    <w:rsid w:val="00783755"/>
    <w:rsid w:val="007912A8"/>
    <w:rsid w:val="007E0EDA"/>
    <w:rsid w:val="00801F0C"/>
    <w:rsid w:val="00804416"/>
    <w:rsid w:val="00815A63"/>
    <w:rsid w:val="00832BB3"/>
    <w:rsid w:val="0083356B"/>
    <w:rsid w:val="00866CFB"/>
    <w:rsid w:val="00874886"/>
    <w:rsid w:val="00897FDA"/>
    <w:rsid w:val="008C375B"/>
    <w:rsid w:val="008F00E9"/>
    <w:rsid w:val="008F7172"/>
    <w:rsid w:val="00900E57"/>
    <w:rsid w:val="00903A6D"/>
    <w:rsid w:val="00916BC3"/>
    <w:rsid w:val="00932F76"/>
    <w:rsid w:val="00935612"/>
    <w:rsid w:val="00936FA1"/>
    <w:rsid w:val="009377C3"/>
    <w:rsid w:val="009726D2"/>
    <w:rsid w:val="009809B2"/>
    <w:rsid w:val="0099768B"/>
    <w:rsid w:val="009D4B8F"/>
    <w:rsid w:val="00A5503B"/>
    <w:rsid w:val="00A75E7A"/>
    <w:rsid w:val="00AF6061"/>
    <w:rsid w:val="00B076DF"/>
    <w:rsid w:val="00B423E0"/>
    <w:rsid w:val="00B4368C"/>
    <w:rsid w:val="00B50171"/>
    <w:rsid w:val="00B65C1B"/>
    <w:rsid w:val="00B65F72"/>
    <w:rsid w:val="00B77A8B"/>
    <w:rsid w:val="00B87803"/>
    <w:rsid w:val="00B87F5F"/>
    <w:rsid w:val="00BA4FF7"/>
    <w:rsid w:val="00BD1722"/>
    <w:rsid w:val="00BF5CA2"/>
    <w:rsid w:val="00C27955"/>
    <w:rsid w:val="00C33E6D"/>
    <w:rsid w:val="00C821D1"/>
    <w:rsid w:val="00CA62B8"/>
    <w:rsid w:val="00CC4C80"/>
    <w:rsid w:val="00CD0FF6"/>
    <w:rsid w:val="00CE666A"/>
    <w:rsid w:val="00CF2950"/>
    <w:rsid w:val="00D3310B"/>
    <w:rsid w:val="00D55E76"/>
    <w:rsid w:val="00D7461F"/>
    <w:rsid w:val="00DA1894"/>
    <w:rsid w:val="00DC106C"/>
    <w:rsid w:val="00DD0396"/>
    <w:rsid w:val="00DD7E17"/>
    <w:rsid w:val="00DE357D"/>
    <w:rsid w:val="00E0144D"/>
    <w:rsid w:val="00E064F9"/>
    <w:rsid w:val="00E17209"/>
    <w:rsid w:val="00E22484"/>
    <w:rsid w:val="00E52725"/>
    <w:rsid w:val="00E72156"/>
    <w:rsid w:val="00E93C44"/>
    <w:rsid w:val="00EB37A9"/>
    <w:rsid w:val="00ED447E"/>
    <w:rsid w:val="00F10142"/>
    <w:rsid w:val="00F2275A"/>
    <w:rsid w:val="00F3247D"/>
    <w:rsid w:val="00F43814"/>
    <w:rsid w:val="00F52617"/>
    <w:rsid w:val="00F53929"/>
    <w:rsid w:val="00F620C5"/>
    <w:rsid w:val="00F65972"/>
    <w:rsid w:val="00F72DC9"/>
    <w:rsid w:val="00F76149"/>
    <w:rsid w:val="00FC15AB"/>
    <w:rsid w:val="00FC7E79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635312"/>
  <w15:chartTrackingRefBased/>
  <w15:docId w15:val="{E823C96C-FC17-4AB1-9AF8-F52682FB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68C"/>
    <w:rPr>
      <w:color w:val="0563C1"/>
      <w:u w:val="single"/>
    </w:rPr>
  </w:style>
  <w:style w:type="paragraph" w:styleId="Revision">
    <w:name w:val="Revision"/>
    <w:hidden/>
    <w:uiPriority w:val="99"/>
    <w:semiHidden/>
    <w:rsid w:val="00BA4FF7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37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C3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law.curtin.edu.au/industry/executive-education/programs/ignition/ignition-information-sess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rtin.au1.qualtrics.com/jfe/form/SV_cNLu7RY7q6EOdn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law.curtin.edu.au/industry/executive-education/programs/ignition/ignition-perth/" TargetMode="External"/><Relationship Id="rId11" Type="http://schemas.openxmlformats.org/officeDocument/2006/relationships/hyperlink" Target="mailto:execed@curtin.edu.au" TargetMode="External"/><Relationship Id="rId5" Type="http://schemas.openxmlformats.org/officeDocument/2006/relationships/hyperlink" Target="https://businesslaw.curtin.edu.au/industry/executive-education/programs/ignition/ignition-perth/" TargetMode="External"/><Relationship Id="rId10" Type="http://schemas.openxmlformats.org/officeDocument/2006/relationships/hyperlink" Target="https://study.curtin.edu.au/applying/international/applying-via-curt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.curtin.edu.au/professional-development/executive-education/ig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Roberts</dc:creator>
  <cp:keywords/>
  <dc:description/>
  <cp:lastModifiedBy>Alana Roberts</cp:lastModifiedBy>
  <cp:revision>3</cp:revision>
  <dcterms:created xsi:type="dcterms:W3CDTF">2022-06-14T08:16:00Z</dcterms:created>
  <dcterms:modified xsi:type="dcterms:W3CDTF">2022-06-14T08:19:00Z</dcterms:modified>
</cp:coreProperties>
</file>